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43A33">
      <w:pPr>
        <w:pStyle w:val="6"/>
        <w:jc w:val="both"/>
      </w:pPr>
      <w:r>
        <w:t>窗体顶端</w:t>
      </w:r>
    </w:p>
    <w:p w14:paraId="5261F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b/>
          <w:bCs/>
          <w:color w:val="06783F"/>
        </w:rPr>
      </w:pPr>
      <w:r>
        <w:rPr>
          <w:rFonts w:hint="default" w:ascii="Arial" w:hAnsi="Arial" w:cs="Arial"/>
          <w:b/>
          <w:bCs/>
          <w:color w:val="06783F"/>
        </w:rPr>
        <w:t>东莞理工学院简介</w:t>
      </w:r>
    </w:p>
    <w:p w14:paraId="1D8EC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Arial" w:hAnsi="Arial" w:cs="Arial"/>
          <w:b w:val="0"/>
          <w:bCs w:val="0"/>
          <w:color w:val="323232"/>
        </w:rPr>
      </w:pPr>
      <w:r>
        <w:rPr>
          <w:rFonts w:ascii="微软雅黑" w:hAnsi="微软雅黑" w:eastAsia="微软雅黑" w:cs="微软雅黑"/>
          <w:b w:val="0"/>
          <w:bCs w:val="0"/>
          <w:color w:val="323232"/>
          <w:sz w:val="21"/>
          <w:szCs w:val="21"/>
        </w:rPr>
        <w:t>东莞理工学院是东莞第一所公办本科院校，实行“省市共建、以市为主”的管理体制，是教育部首批卓越工程师教育培养计划试点高校、广东首批高水平理工科大学建设单位、广东省唯一省市共建的新型高水平理工科大学示范校。中国科学院院士、诺贝尔物理学奖获得者杨振宁博士任名誉校长。</w:t>
      </w:r>
    </w:p>
    <w:p w14:paraId="50486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Arial" w:hAnsi="Arial" w:cs="Arial"/>
          <w:b w:val="0"/>
          <w:bCs w:val="0"/>
          <w:color w:val="323232"/>
        </w:rPr>
      </w:pPr>
      <w:r>
        <w:rPr>
          <w:rFonts w:hint="default" w:ascii="Arial" w:hAnsi="Arial" w:cs="Arial"/>
          <w:b w:val="0"/>
          <w:bCs w:val="0"/>
          <w:color w:val="323232"/>
          <w:sz w:val="21"/>
          <w:szCs w:val="21"/>
        </w:rPr>
        <w:drawing>
          <wp:inline distT="0" distB="0" distL="114300" distR="114300">
            <wp:extent cx="6840220" cy="159575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840220" cy="1595755"/>
                    </a:xfrm>
                    <a:prstGeom prst="rect">
                      <a:avLst/>
                    </a:prstGeom>
                    <a:noFill/>
                    <a:ln w="9525">
                      <a:noFill/>
                    </a:ln>
                  </pic:spPr>
                </pic:pic>
              </a:graphicData>
            </a:graphic>
          </wp:inline>
        </w:drawing>
      </w:r>
    </w:p>
    <w:p w14:paraId="46F0ED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Arial" w:hAnsi="Arial" w:cs="Arial"/>
          <w:b w:val="0"/>
          <w:bCs w:val="0"/>
          <w:color w:val="323232"/>
        </w:rPr>
      </w:pPr>
      <w:r>
        <w:rPr>
          <w:rFonts w:hint="eastAsia" w:ascii="微软雅黑" w:hAnsi="微软雅黑" w:eastAsia="微软雅黑" w:cs="微软雅黑"/>
          <w:b w:val="0"/>
          <w:bCs w:val="0"/>
          <w:color w:val="323232"/>
          <w:sz w:val="21"/>
          <w:szCs w:val="21"/>
        </w:rPr>
        <w:t>现有松山湖、莞城两个校区，其中松山湖校区占地1860亩（含370亩国际合作创新区）；莞城校区占地332亩。设有20个二级学院。教职工1920人，其中正高职称人员149人、副高职称人员377人、博士1006人。专任教师中，具有高级以上职称人员占比38%，具有博士学位人员占比超过70%。全日制在校本科生20356人，在校硕士研究生1088人，联培博士研究生41人。继续教育学生约2万人。迄今为地方培养各类人才13万余人，历年毕业生毕业去向落实率达93%以上，约95%的毕业生留粤港澳大湾区就业创业，用人单位满意度达93%以上。</w:t>
      </w:r>
    </w:p>
    <w:p w14:paraId="74C35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Arial" w:hAnsi="Arial" w:cs="Arial"/>
          <w:b/>
          <w:bCs/>
          <w:color w:val="06783F"/>
        </w:rPr>
      </w:pPr>
      <w:r>
        <w:rPr>
          <w:rFonts w:hint="default" w:ascii="Arial" w:hAnsi="Arial" w:cs="Arial"/>
          <w:b/>
          <w:bCs/>
          <w:color w:val="06783F"/>
        </w:rPr>
        <w:t>深化学科专业内涵建设，夯实改革发展坚实基础</w:t>
      </w:r>
    </w:p>
    <w:p w14:paraId="15235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Arial" w:hAnsi="Arial" w:cs="Arial"/>
          <w:b w:val="0"/>
          <w:bCs w:val="0"/>
          <w:color w:val="323232"/>
        </w:rPr>
      </w:pPr>
      <w:r>
        <w:rPr>
          <w:rFonts w:hint="eastAsia" w:ascii="微软雅黑" w:hAnsi="微软雅黑" w:eastAsia="微软雅黑" w:cs="微软雅黑"/>
          <w:b w:val="0"/>
          <w:bCs w:val="0"/>
          <w:color w:val="323232"/>
          <w:sz w:val="21"/>
          <w:szCs w:val="21"/>
        </w:rPr>
        <w:t>瞄准区域先进制造业和战略性新兴产业，主动加强与中国散裂中子源、松山湖材料实验室、华为终端与研发总部、滨海湾新区等对接联动，强化学科交叉创新与专业跨界融合，建成以工学为重点，管理学、文学、理学、经济学、法学、教育学、艺术学等多学科协调发展的学科专业体系。现有硕士学位授权点15个，广东省重点学科6个、省教育厅“冲补强”重点建设学科4个、ESI全球排名前1%学科6个。开设62个本科专业，入选国家级、省级一流专业建设点28个，通过国际工程教育专业认证5个。现有国家级特色专业1个、首批教育部“卓越工程师教育培养计划”试点专业4个、国家专业综合改革试点专业1个，省级特色建设专业9个、战略新兴特色专业2个、重点专业6个、综合改革立项建设专业13个。</w:t>
      </w:r>
    </w:p>
    <w:p w14:paraId="186CF7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Arial" w:hAnsi="Arial" w:cs="Arial"/>
          <w:b w:val="0"/>
          <w:bCs w:val="0"/>
          <w:color w:val="323232"/>
        </w:rPr>
      </w:pPr>
      <w:r>
        <w:rPr>
          <w:rFonts w:hint="default" w:ascii="Arial" w:hAnsi="Arial" w:cs="Arial"/>
          <w:b w:val="0"/>
          <w:bCs w:val="0"/>
          <w:color w:val="323232"/>
          <w:sz w:val="21"/>
          <w:szCs w:val="21"/>
        </w:rPr>
        <w:drawing>
          <wp:inline distT="0" distB="0" distL="114300" distR="114300">
            <wp:extent cx="6839585" cy="4185920"/>
            <wp:effectExtent l="0" t="0" r="0" b="0"/>
            <wp:docPr id="2" name="图片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ndefined"/>
                    <pic:cNvPicPr>
                      <a:picLocks noChangeAspect="1"/>
                    </pic:cNvPicPr>
                  </pic:nvPicPr>
                  <pic:blipFill>
                    <a:blip r:embed="rId5"/>
                    <a:stretch>
                      <a:fillRect/>
                    </a:stretch>
                  </pic:blipFill>
                  <pic:spPr>
                    <a:xfrm>
                      <a:off x="0" y="0"/>
                      <a:ext cx="6839585" cy="4185920"/>
                    </a:xfrm>
                    <a:prstGeom prst="rect">
                      <a:avLst/>
                    </a:prstGeom>
                    <a:noFill/>
                    <a:ln w="9525">
                      <a:noFill/>
                    </a:ln>
                  </pic:spPr>
                </pic:pic>
              </a:graphicData>
            </a:graphic>
          </wp:inline>
        </w:drawing>
      </w:r>
    </w:p>
    <w:p w14:paraId="440FE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Arial" w:hAnsi="Arial" w:cs="Arial"/>
          <w:b/>
          <w:bCs/>
          <w:color w:val="06783F"/>
        </w:rPr>
      </w:pPr>
      <w:r>
        <w:rPr>
          <w:rFonts w:hint="default" w:ascii="Arial" w:hAnsi="Arial" w:cs="Arial"/>
          <w:b/>
          <w:bCs/>
          <w:color w:val="06783F"/>
        </w:rPr>
        <w:t>凸显人才培养中心地位，培养高素质应用型创新人才</w:t>
      </w:r>
    </w:p>
    <w:p w14:paraId="40E37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Arial" w:hAnsi="Arial" w:cs="Arial"/>
          <w:b w:val="0"/>
          <w:bCs w:val="0"/>
          <w:color w:val="323232"/>
        </w:rPr>
      </w:pPr>
      <w:r>
        <w:rPr>
          <w:rFonts w:hint="eastAsia" w:ascii="微软雅黑" w:hAnsi="微软雅黑" w:eastAsia="微软雅黑" w:cs="微软雅黑"/>
          <w:b w:val="0"/>
          <w:bCs w:val="0"/>
          <w:color w:val="323232"/>
          <w:sz w:val="21"/>
          <w:szCs w:val="21"/>
        </w:rPr>
        <w:t>主动适应和支撑引领社会经济转型和产业发展，确立“坚持知行合一、立德树人，着力培养适应现代产业发展需求，勇于担当、善于学习、敢于超越的高素质应用型创新人才”的培养目标。开设国内首个“杨振宁创新班”，培养拔尖创新人才。扎实开展卓越工程师产教联合培养行动计划，实施紧缺人才培养“奋楫计划”和双师双能提升“笃行计划”，深度参与工程硕博士培养改革专项试点，快速回应经济社会发展对卓越工程师及相关专业人才的迫切需求。与华为、西门子等龙头企业、专业镇街共建10个现代产业学院，获批2个教育部现代产业学院，6个广东省示范产业学院。2017年以来，学校获国家教学成果奖二等奖2项，省教学成果一等奖5项、二等奖5项。2019年以来，在“互联网+”“挑战杯”等重大赛事中获奖300余项，其中2022年“互联网+”省赛成绩位列全省第一、国赛实现双金历史性突破。</w:t>
      </w:r>
    </w:p>
    <w:p w14:paraId="29E38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Arial" w:hAnsi="Arial" w:cs="Arial"/>
          <w:b/>
          <w:bCs/>
          <w:color w:val="06783F"/>
        </w:rPr>
      </w:pPr>
      <w:r>
        <w:rPr>
          <w:rFonts w:hint="default" w:ascii="Arial" w:hAnsi="Arial" w:cs="Arial"/>
          <w:b/>
          <w:bCs/>
          <w:color w:val="06783F"/>
        </w:rPr>
        <w:t>发挥人才集聚效应，建设高水平师资队伍</w:t>
      </w:r>
    </w:p>
    <w:p w14:paraId="64035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Arial" w:hAnsi="Arial" w:cs="Arial"/>
          <w:b w:val="0"/>
          <w:bCs w:val="0"/>
          <w:color w:val="323232"/>
        </w:rPr>
      </w:pPr>
      <w:r>
        <w:rPr>
          <w:rFonts w:hint="eastAsia" w:ascii="微软雅黑" w:hAnsi="微软雅黑" w:eastAsia="微软雅黑" w:cs="微软雅黑"/>
          <w:b w:val="0"/>
          <w:bCs w:val="0"/>
          <w:color w:val="323232"/>
          <w:sz w:val="21"/>
          <w:szCs w:val="21"/>
        </w:rPr>
        <w:t>2015年9月以来，累计引进具有博士学位或高级职称人才900余人、招收博士后390余人，师资队伍规模、素质、结构发生根本性变化。其中，院士（全职引进、柔性引进）18人，其他杰出人才57人，领军人才74人，学科骨干108人。先后实现东莞市在国家级人才项目（计划）自主培育上零的突破。城市安全防灾应急教师团队入选“全国高校黄大年式教师团队”。获广东省高校创新团队项目、粤港澳研究团队项目、东莞市战略科学家团队项目等创新团队项目16个。入选2024年度全球前2％顶尖科学家榜单36人。持续实施以团队建设为核心的“领航计划”、以培育校内高层次人才为重点的“登高计划”，以及以全体教职工可持续发展为目标的“致远计划”2.0版。</w:t>
      </w:r>
    </w:p>
    <w:p w14:paraId="6B83F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Arial" w:hAnsi="Arial" w:cs="Arial"/>
          <w:b/>
          <w:bCs/>
          <w:color w:val="06783F"/>
        </w:rPr>
      </w:pPr>
      <w:r>
        <w:rPr>
          <w:rFonts w:hint="default" w:ascii="Arial" w:hAnsi="Arial" w:cs="Arial"/>
          <w:b/>
          <w:bCs/>
          <w:color w:val="06783F"/>
        </w:rPr>
        <w:t>强化有组织科研，搭建服务支撑地方产业体系</w:t>
      </w:r>
    </w:p>
    <w:p w14:paraId="4BD4A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Arial" w:hAnsi="Arial" w:cs="Arial"/>
          <w:b w:val="0"/>
          <w:bCs w:val="0"/>
          <w:color w:val="323232"/>
        </w:rPr>
      </w:pPr>
      <w:r>
        <w:rPr>
          <w:rFonts w:hint="eastAsia" w:ascii="微软雅黑" w:hAnsi="微软雅黑" w:eastAsia="微软雅黑" w:cs="微软雅黑"/>
          <w:b w:val="0"/>
          <w:bCs w:val="0"/>
          <w:color w:val="323232"/>
          <w:sz w:val="21"/>
          <w:szCs w:val="21"/>
        </w:rPr>
        <w:t>2015年以来，承担国家各级各类课题4200项，科研总经费约37.75亿元。在新材料新结构、高性能铝合金及其成型技术、环境工程、水污染防治、电子信息、人工智能、智能装备等领域方面实现关键技术的突破，先后荣获国家级奖2项、省部级奖25项、市厅级奖32项、社会力量奖37项。由东莞理工学院主导投入，与中国散裂中子源、香港城市大学合作建设的多物理谱仪（东莞理工谱仪）投资超1亿元，面向全球用户开放。实现中国散裂中子源关键装备——中子衍射谱仪闪烁体探测器国产化，批量制造环节水平处于世界前沿。建有广东省重点实验室2个、广东省工程技术研究中心12个，参与粤港澳联合实验室1个，参与省重点实验室4个，获批各类省级平台32个、市级科研平台55个，获批东莞市战略科学家团队1个、粤港澳研究团队3个、广东高校科研创新团队15个，孵化企业62家。促进科研成果高效转化，建设科技创新研究院、大学科技园、工程技术中心等载体平台，助力企业产生经济效益超过220亿元。</w:t>
      </w:r>
    </w:p>
    <w:p w14:paraId="24F4A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Arial" w:hAnsi="Arial" w:cs="Arial"/>
          <w:b/>
          <w:bCs/>
          <w:color w:val="06783F"/>
        </w:rPr>
      </w:pPr>
      <w:r>
        <w:rPr>
          <w:rFonts w:hint="default" w:ascii="Arial" w:hAnsi="Arial" w:cs="Arial"/>
          <w:b/>
          <w:bCs/>
          <w:color w:val="06783F"/>
        </w:rPr>
        <w:t>拓展境外合作与交流，拓宽多元国际化办学格局</w:t>
      </w:r>
    </w:p>
    <w:p w14:paraId="1E8DB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Arial" w:hAnsi="Arial" w:cs="Arial"/>
          <w:b w:val="0"/>
          <w:bCs w:val="0"/>
          <w:color w:val="323232"/>
        </w:rPr>
      </w:pPr>
      <w:r>
        <w:rPr>
          <w:rFonts w:hint="eastAsia" w:ascii="微软雅黑" w:hAnsi="微软雅黑" w:eastAsia="微软雅黑" w:cs="微软雅黑"/>
          <w:b w:val="0"/>
          <w:bCs w:val="0"/>
          <w:color w:val="323232"/>
          <w:sz w:val="21"/>
          <w:szCs w:val="21"/>
        </w:rPr>
        <w:t>秉持“以我为主、开放共赢”的国际化办学理念，积极服务国家外交大局，构建与英、美、加、澳、法等覆盖全球32个国家和地区的88所高校及机构的合作网络。现有欧洲创新中心、香港创新中心等6个创新中心和瑞士海外校区，拉美创新中心加快筹建。设有中法学院、粤台产业科技学院、国际学院、国际联合研究生院等合作办学载体。学校为香港城市大学（东莞）合作办学主体。深度融入共建“一带一路”高质量发展，作为科技部中国—拉美和加勒比国家技术转移中心国家级平台的实体发起单位和理事长单位，与墨西哥、巴西、厄瓜多尔、古巴等8个国家共13所拉美高校（研究机构）达成合作。</w:t>
      </w:r>
    </w:p>
    <w:p w14:paraId="6E07D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Arial" w:hAnsi="Arial" w:cs="Arial"/>
          <w:b w:val="0"/>
          <w:bCs w:val="0"/>
          <w:color w:val="323232"/>
        </w:rPr>
      </w:pPr>
      <w:r>
        <w:rPr>
          <w:rFonts w:hint="eastAsia" w:ascii="微软雅黑" w:hAnsi="微软雅黑" w:eastAsia="微软雅黑" w:cs="微软雅黑"/>
          <w:b w:val="0"/>
          <w:bCs w:val="0"/>
          <w:color w:val="323232"/>
          <w:sz w:val="21"/>
          <w:szCs w:val="21"/>
        </w:rPr>
        <w:t>在省委、省政府及市委、市政府的正确领导下，在上级教育主管部门和社会各界的大力支持下，校党委行政团结带领广大教职员工，落实“学而知不足”校训要求，丰富“知行合一、立德树人”办学思想，倡导“爱国奋斗、追求卓越”莞工精神，秉持“守正出新、登高致远”战略理念，践行“以卓越的创新教育与实践造福社会”价值追求，加快建成与“四个一流”体系，为全面推进“百千万工程”注入新动能，为国家和区域经济社会发展提供更加有力的科技、人才和智力支撑，全面建成具有国际竞争力和影响力、国内一流、代表东莞形象的新型高水平理工科大学示范校。</w:t>
      </w:r>
    </w:p>
    <w:p w14:paraId="0B5F0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b w:val="0"/>
          <w:bCs w:val="0"/>
          <w:color w:val="323232"/>
          <w:sz w:val="21"/>
          <w:szCs w:val="21"/>
        </w:rPr>
        <w:t>（数据更新截至2025年3月）</w:t>
      </w:r>
      <w:bookmarkStart w:id="0" w:name="_GoBack"/>
      <w:bookmarkEnd w:id="0"/>
    </w:p>
    <w:sectPr>
      <w:pgSz w:w="11906"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54645"/>
    <w:rsid w:val="243D659B"/>
    <w:rsid w:val="2F3E65D9"/>
    <w:rsid w:val="323D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2357</Words>
  <Characters>2458</Characters>
  <Lines>0</Lines>
  <Paragraphs>0</Paragraphs>
  <TotalTime>1</TotalTime>
  <ScaleCrop>false</ScaleCrop>
  <LinksUpToDate>false</LinksUpToDate>
  <CharactersWithSpaces>2458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2025-03-19T09:43:00Z</dcterms:created>
  <dc:creator>ye</dc:creator>
  <cp:lastModifiedBy>Lily Girl</cp:lastModifiedBy>
  <dcterms:modified xsi:type="dcterms:W3CDTF">2025-04-18T02:29:10Z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16F5630F527248BDAF8241CF10915505_12</vt:lpwstr>
  </property>
  <property fmtid="{D5CDD505-2E9C-101B-9397-08002B2CF9AE}" pid="4" name="KSOTemplateDocerSaveRecord">
    <vt:lpwstr>eyJoZGlkIjoiZjgyMDQ3YWQ2N2IwNzM4Mzc1MTk3YTU2NjVjZGY3YmEiLCJ1c2VySWQiOiI5NTgyMTgzNjYifQ==</vt:lpwstr>
  </property>
</Properties>
</file>